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1AA0344D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</w:t>
      </w:r>
      <w:proofErr w:type="gramStart"/>
      <w:r w:rsidR="00E461DE">
        <w:rPr>
          <w:rFonts w:ascii="Verdana" w:eastAsia="Times New Roman" w:hAnsi="Verdana"/>
          <w:b/>
          <w:sz w:val="24"/>
          <w:szCs w:val="20"/>
        </w:rPr>
        <w:t xml:space="preserve">Psychology </w:t>
      </w:r>
      <w:r>
        <w:rPr>
          <w:rFonts w:ascii="Verdana" w:eastAsia="Times New Roman" w:hAnsi="Verdana"/>
          <w:b/>
          <w:sz w:val="24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  <w:proofErr w:type="gramEnd"/>
    </w:p>
    <w:p w14:paraId="1D38AD96" w14:textId="291477E9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</w:t>
      </w:r>
      <w:r w:rsidR="00DB4D99">
        <w:rPr>
          <w:rFonts w:ascii="Verdana" w:eastAsia="Times New Roman" w:hAnsi="Verdana"/>
          <w:b/>
          <w:sz w:val="24"/>
          <w:szCs w:val="20"/>
        </w:rPr>
        <w:t xml:space="preserve">A in </w:t>
      </w:r>
      <w:r w:rsidR="008B58D0">
        <w:rPr>
          <w:rFonts w:ascii="Verdana" w:eastAsia="Times New Roman" w:hAnsi="Verdana"/>
          <w:b/>
          <w:sz w:val="24"/>
          <w:szCs w:val="20"/>
        </w:rPr>
        <w:t>Psychology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51644448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9D301B">
        <w:rPr>
          <w:rFonts w:ascii="Verdana" w:eastAsia="Times New Roman" w:hAnsi="Verdana"/>
          <w:sz w:val="20"/>
          <w:szCs w:val="20"/>
        </w:rPr>
        <w:t>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proofErr w:type="spellEnd"/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r w:rsidR="0050532B">
        <w:rPr>
          <w:rFonts w:ascii="Verdana" w:eastAsia="Times New Roman" w:hAnsi="Verdana"/>
          <w:sz w:val="20"/>
          <w:szCs w:val="20"/>
        </w:rPr>
        <w:t>Psychology</w:t>
      </w:r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 xml:space="preserve">This lists the </w:t>
      </w:r>
      <w:proofErr w:type="spellStart"/>
      <w:r w:rsidR="00F21ECA">
        <w:rPr>
          <w:rFonts w:ascii="Verdana" w:eastAsia="Times New Roman" w:hAnsi="Verdana"/>
          <w:sz w:val="20"/>
          <w:szCs w:val="20"/>
        </w:rPr>
        <w:t>GovState</w:t>
      </w:r>
      <w:proofErr w:type="spellEnd"/>
      <w:r w:rsidR="00F21ECA">
        <w:rPr>
          <w:rFonts w:ascii="Verdana" w:eastAsia="Times New Roman" w:hAnsi="Verdana"/>
          <w:sz w:val="20"/>
          <w:szCs w:val="20"/>
        </w:rPr>
        <w:t xml:space="preserve">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152955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152955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ENGL-1000</w:t>
            </w:r>
          </w:p>
          <w:p w14:paraId="6FEABE6B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ENGL-1010</w:t>
            </w:r>
          </w:p>
          <w:p w14:paraId="61D1D15C" w14:textId="77777777" w:rsidR="00101B55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TW 101</w:t>
            </w:r>
          </w:p>
          <w:p w14:paraId="0624BB5C" w14:textId="19064301" w:rsidR="00524245" w:rsidRDefault="0079024F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152955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2F07207A" w14:textId="6EC83448" w:rsidR="00ED601A" w:rsidRDefault="006A7431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Fine Arts Course</w:t>
            </w:r>
          </w:p>
          <w:p w14:paraId="1F20571B" w14:textId="77777777" w:rsidR="00605264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Course</w:t>
            </w:r>
          </w:p>
          <w:p w14:paraId="3F9B8FE5" w14:textId="3EB56076" w:rsidR="00AE37F6" w:rsidRPr="00ED601A" w:rsidRDefault="00AE37F6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Humanities or Fine Arts 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42B79CC6" w:rsidR="002E2E87" w:rsidRDefault="00B536F4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MUSC 111, MUSC 252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, ART 103</w:t>
            </w:r>
          </w:p>
          <w:p w14:paraId="2419F059" w14:textId="77777777" w:rsidR="000E0C8B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ENGL 105</w:t>
            </w:r>
          </w:p>
          <w:p w14:paraId="43612649" w14:textId="4015AB4C" w:rsidR="00AE37F6" w:rsidRDefault="00AE37F6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125, COMM 234, MUSC 111, MUSC 252</w:t>
            </w:r>
            <w:r w:rsidR="007F58D9">
              <w:rPr>
                <w:rFonts w:ascii="Verdana" w:eastAsia="Times New Roman" w:hAnsi="Verdana"/>
                <w:b/>
                <w:sz w:val="20"/>
                <w:szCs w:val="20"/>
              </w:rPr>
              <w:t>, THEO 306, PHIL 330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>(recommended),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 xml:space="preserve"> PHIL 101</w:t>
            </w:r>
            <w:r w:rsidR="00581EDA">
              <w:rPr>
                <w:rFonts w:ascii="Verdana" w:eastAsia="Times New Roman" w:hAnsi="Verdana"/>
                <w:b/>
                <w:sz w:val="20"/>
                <w:szCs w:val="20"/>
              </w:rPr>
              <w:t>,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8611D4">
              <w:rPr>
                <w:rFonts w:ascii="Verdana" w:eastAsia="Times New Roman" w:hAnsi="Verdana"/>
                <w:b/>
                <w:sz w:val="20"/>
                <w:szCs w:val="20"/>
              </w:rPr>
              <w:t>Any Spanish Course, SPED 111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152955">
        <w:tc>
          <w:tcPr>
            <w:tcW w:w="4675" w:type="dxa"/>
          </w:tcPr>
          <w:p w14:paraId="234378D9" w14:textId="037E45F2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>3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Hours)</w:t>
            </w:r>
          </w:p>
        </w:tc>
        <w:tc>
          <w:tcPr>
            <w:tcW w:w="4675" w:type="dxa"/>
          </w:tcPr>
          <w:p w14:paraId="3B236ECE" w14:textId="77777777" w:rsidR="00C04856" w:rsidRDefault="00C04856" w:rsidP="00C04856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3 Hours from the following:</w:t>
            </w:r>
          </w:p>
          <w:p w14:paraId="595EA72E" w14:textId="77777777" w:rsidR="00C04856" w:rsidRDefault="00C04856" w:rsidP="00C04856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 108, MATH 110, MATH 111, MATH 112, MATH 141, MATH 151, or MATH 211</w:t>
            </w:r>
          </w:p>
          <w:p w14:paraId="6E7FE13D" w14:textId="40A5BC49" w:rsidR="00752724" w:rsidRDefault="0075272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152955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766F2144" w14:textId="77777777" w:rsidR="00760CAB" w:rsidRDefault="000C12C9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from each area:</w:t>
            </w:r>
          </w:p>
          <w:p w14:paraId="27B9BB3E" w14:textId="4EEA32F8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Life Science – BIOL 100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 xml:space="preserve">, BIOL 110 (lab), BIOL 111 (lab), BIOL 205 (lab) </w:t>
            </w:r>
          </w:p>
          <w:p w14:paraId="3DC7A668" w14:textId="18775BE9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Physical Science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–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CHEM 101 (lab), CHEM</w:t>
            </w:r>
            <w:r w:rsidR="00C73152">
              <w:rPr>
                <w:rFonts w:ascii="Verdana" w:eastAsia="Times New Roman" w:hAnsi="Verdana"/>
                <w:b/>
                <w:sz w:val="20"/>
                <w:szCs w:val="20"/>
              </w:rPr>
              <w:t xml:space="preserve"> 102 (lab), CHEM 103 (lab)</w:t>
            </w:r>
            <w:r w:rsidR="00A810A6">
              <w:rPr>
                <w:rFonts w:ascii="Verdana" w:eastAsia="Times New Roman" w:hAnsi="Verdana"/>
                <w:b/>
                <w:sz w:val="20"/>
                <w:szCs w:val="20"/>
              </w:rPr>
              <w:t>, GEOL 101, PHYS 101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>, PHYS 121 (lab)</w:t>
            </w:r>
            <w:r w:rsidR="002B347B">
              <w:rPr>
                <w:rFonts w:ascii="Verdana" w:eastAsia="Times New Roman" w:hAnsi="Verdana"/>
                <w:b/>
                <w:sz w:val="20"/>
                <w:szCs w:val="20"/>
              </w:rPr>
              <w:t xml:space="preserve">, SCI 102 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>(lab)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4DD65ABB" w14:textId="77777777" w:rsidR="000C12C9" w:rsidRDefault="0001289E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One of the above </w:t>
            </w:r>
            <w:proofErr w:type="gramStart"/>
            <w:r>
              <w:rPr>
                <w:rFonts w:ascii="Verdana" w:eastAsia="Times New Roman" w:hAnsi="Verdana"/>
                <w:b/>
                <w:sz w:val="20"/>
                <w:szCs w:val="20"/>
              </w:rPr>
              <w:t>has to</w:t>
            </w:r>
            <w:proofErr w:type="gram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>have a lab.</w:t>
            </w: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152955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60ED46BC" w14:textId="4FC7B775" w:rsidR="00604C2B" w:rsidRDefault="00581EDA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>PSYC 121</w:t>
            </w:r>
            <w:r w:rsidR="00621B03">
              <w:rPr>
                <w:rFonts w:ascii="Verdana" w:eastAsia="Times New Roman" w:hAnsi="Verdana"/>
                <w:b/>
                <w:sz w:val="20"/>
                <w:szCs w:val="20"/>
              </w:rPr>
              <w:t xml:space="preserve"> (meets PSYC-1101)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,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15AE1CA6" w14:textId="1A8C44F7" w:rsidR="00604C2B" w:rsidRDefault="0050532B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>PSYC 123</w:t>
            </w:r>
            <w:r w:rsidR="00621B03">
              <w:rPr>
                <w:rFonts w:ascii="Verdana" w:eastAsia="Times New Roman" w:hAnsi="Verdana"/>
                <w:b/>
                <w:sz w:val="20"/>
                <w:szCs w:val="20"/>
              </w:rPr>
              <w:t xml:space="preserve"> (meets PSYC-</w:t>
            </w:r>
            <w:r w:rsidR="00C801C9">
              <w:rPr>
                <w:rFonts w:ascii="Verdana" w:eastAsia="Times New Roman" w:hAnsi="Verdana"/>
                <w:b/>
                <w:sz w:val="20"/>
                <w:szCs w:val="20"/>
              </w:rPr>
              <w:t>2201)</w:t>
            </w:r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and </w:t>
            </w:r>
          </w:p>
          <w:p w14:paraId="07FAD691" w14:textId="571257EB" w:rsidR="00BC508E" w:rsidRPr="00604C2B" w:rsidRDefault="00604C2B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O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ne additional from the following: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PLSC 201,</w:t>
            </w:r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ECON </w:t>
            </w:r>
            <w:proofErr w:type="gramStart"/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121,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>ECON</w:t>
            </w:r>
            <w:proofErr w:type="gramEnd"/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122, </w:t>
            </w:r>
            <w:r w:rsidR="0050532B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250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, SOC 121</w:t>
            </w:r>
            <w:r w:rsidR="00411C2F" w:rsidRPr="00604C2B">
              <w:rPr>
                <w:rFonts w:ascii="Verdana" w:eastAsia="Times New Roman" w:hAnsi="Verdana"/>
                <w:b/>
                <w:sz w:val="20"/>
                <w:szCs w:val="20"/>
              </w:rPr>
              <w:t>, GEOG 201</w:t>
            </w:r>
            <w:r w:rsidR="0070495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HIST 281, HIST 286, </w:t>
            </w:r>
            <w:r w:rsidR="000E48C0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254, or SOC 260</w:t>
            </w:r>
          </w:p>
          <w:p w14:paraId="1F4CF05B" w14:textId="4075059A" w:rsidR="00B536F4" w:rsidRDefault="00B536F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4C54" w14:paraId="17A42A16" w14:textId="77777777" w:rsidTr="00152955">
        <w:tc>
          <w:tcPr>
            <w:tcW w:w="4675" w:type="dxa"/>
          </w:tcPr>
          <w:p w14:paraId="5E65D0B5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39137FBE" w:rsidR="00A14C54" w:rsidRDefault="001529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A14C54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559F02E5" w14:textId="2B177A81" w:rsidR="001A4F44" w:rsidRDefault="001F5FF4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2345</w:t>
            </w:r>
          </w:p>
          <w:p w14:paraId="57D55091" w14:textId="08BA83E7" w:rsidR="00621B03" w:rsidRDefault="00621B03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2102</w:t>
            </w:r>
          </w:p>
          <w:p w14:paraId="4B0FE126" w14:textId="6AB583D5" w:rsidR="00621B03" w:rsidRDefault="00621B03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2150</w:t>
            </w:r>
          </w:p>
          <w:p w14:paraId="28167367" w14:textId="56009C67" w:rsidR="00621B03" w:rsidRDefault="00C801C9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2410</w:t>
            </w:r>
          </w:p>
          <w:p w14:paraId="4D1288FC" w14:textId="55DDBF8A" w:rsidR="002666E4" w:rsidRDefault="00C801C9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</w:t>
            </w:r>
            <w:r w:rsidR="002666E4">
              <w:rPr>
                <w:rFonts w:ascii="Verdana" w:eastAsia="Times New Roman" w:hAnsi="Verdana"/>
                <w:b/>
                <w:sz w:val="20"/>
                <w:szCs w:val="20"/>
              </w:rPr>
              <w:t xml:space="preserve"> 3099</w:t>
            </w:r>
          </w:p>
          <w:p w14:paraId="4E34F772" w14:textId="01F6D643" w:rsidR="002666E4" w:rsidRDefault="00C801C9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</w:t>
            </w:r>
            <w:r w:rsidR="002666E4">
              <w:rPr>
                <w:rFonts w:ascii="Verdana" w:eastAsia="Times New Roman" w:hAnsi="Verdana"/>
                <w:b/>
                <w:sz w:val="20"/>
                <w:szCs w:val="20"/>
              </w:rPr>
              <w:t xml:space="preserve"> 31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5</w:t>
            </w:r>
            <w:r w:rsidR="002666E4">
              <w:rPr>
                <w:rFonts w:ascii="Verdana" w:eastAsia="Times New Roman" w:hAnsi="Verdana"/>
                <w:b/>
                <w:sz w:val="20"/>
                <w:szCs w:val="20"/>
              </w:rPr>
              <w:t>0</w:t>
            </w:r>
          </w:p>
          <w:p w14:paraId="1E2B4C8F" w14:textId="2D7C3B1D" w:rsidR="002666E4" w:rsidRDefault="00C801C9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3430</w:t>
            </w:r>
          </w:p>
          <w:p w14:paraId="2E847084" w14:textId="0107C1D8" w:rsidR="002666E4" w:rsidRDefault="001839F2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4950</w:t>
            </w:r>
          </w:p>
          <w:p w14:paraId="081E1DE3" w14:textId="70C878D6" w:rsidR="002666E4" w:rsidRDefault="001839F2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3520 or 3524</w:t>
            </w:r>
          </w:p>
          <w:p w14:paraId="27767A6C" w14:textId="31870187" w:rsidR="002666E4" w:rsidRDefault="00FB47F0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3675 or PSYC 3680</w:t>
            </w:r>
          </w:p>
          <w:p w14:paraId="24D46CAB" w14:textId="3D12270C" w:rsidR="005778DF" w:rsidRDefault="00B33E72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9</w:t>
            </w:r>
            <w:r w:rsidR="005778DF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5778DF">
              <w:rPr>
                <w:rFonts w:ascii="Verdana" w:eastAsia="Times New Roman" w:hAnsi="Verdana"/>
                <w:b/>
                <w:sz w:val="20"/>
                <w:szCs w:val="20"/>
              </w:rPr>
              <w:t>Hrs</w:t>
            </w:r>
            <w:proofErr w:type="spellEnd"/>
            <w:r w:rsidR="005778DF">
              <w:rPr>
                <w:rFonts w:ascii="Verdana" w:eastAsia="Times New Roman" w:hAnsi="Verdana"/>
                <w:b/>
                <w:sz w:val="20"/>
                <w:szCs w:val="20"/>
              </w:rPr>
              <w:t xml:space="preserve"> of 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Psychology</w:t>
            </w:r>
            <w:r w:rsidR="00135D3A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Concentration</w:t>
            </w:r>
            <w:r w:rsidR="00136210">
              <w:rPr>
                <w:rFonts w:ascii="Verdana" w:eastAsia="Times New Roman" w:hAnsi="Verdana"/>
                <w:b/>
                <w:sz w:val="20"/>
                <w:szCs w:val="20"/>
              </w:rPr>
              <w:t xml:space="preserve"> – Student selects course based on career goals and interests</w:t>
            </w:r>
          </w:p>
          <w:p w14:paraId="789A33B9" w14:textId="18C7593C" w:rsidR="00A83F14" w:rsidRPr="00A14C54" w:rsidRDefault="00A83F1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Electives </w:t>
            </w:r>
          </w:p>
        </w:tc>
        <w:tc>
          <w:tcPr>
            <w:tcW w:w="4675" w:type="dxa"/>
          </w:tcPr>
          <w:p w14:paraId="578B721B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75D1EA79" w:rsidR="00A14C54" w:rsidRDefault="00152955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TCC </w:t>
            </w:r>
            <w:r w:rsidR="00F90C73" w:rsidRPr="00F90C73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4BB7CA8B" w14:textId="15A70158" w:rsidR="00D202E7" w:rsidRDefault="007913E4" w:rsidP="00330B0B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332</w:t>
            </w:r>
          </w:p>
          <w:p w14:paraId="4D52B94A" w14:textId="77777777" w:rsidR="00330B0B" w:rsidRPr="00330B0B" w:rsidRDefault="00330B0B" w:rsidP="00330B0B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EB2C203" w14:textId="02D50030" w:rsidR="00330B0B" w:rsidRDefault="00841AC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122</w:t>
            </w:r>
          </w:p>
          <w:p w14:paraId="228C8FD7" w14:textId="23EDC913" w:rsidR="00330B0B" w:rsidRDefault="007913E4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</w:t>
            </w:r>
            <w:r w:rsidR="00D10A92">
              <w:rPr>
                <w:rFonts w:ascii="Verdana" w:eastAsia="Times New Roman" w:hAnsi="Verdana"/>
                <w:b/>
                <w:sz w:val="20"/>
                <w:szCs w:val="20"/>
              </w:rPr>
              <w:t>23</w:t>
            </w:r>
          </w:p>
          <w:p w14:paraId="20E58394" w14:textId="77777777" w:rsidR="0014056E" w:rsidRDefault="0014056E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85F4F54" w14:textId="3718EBF1" w:rsidR="00B36C81" w:rsidRDefault="002A3E4D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360</w:t>
            </w:r>
          </w:p>
          <w:p w14:paraId="105E8F7D" w14:textId="668E27B0" w:rsidR="00B36C81" w:rsidRDefault="00D10A9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322</w:t>
            </w:r>
          </w:p>
          <w:p w14:paraId="7BD306B8" w14:textId="77777777" w:rsidR="00B36C81" w:rsidRDefault="00B36C81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ADE9092" w14:textId="58AF593D" w:rsidR="00B36C81" w:rsidRDefault="00D10A9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251</w:t>
            </w:r>
            <w:r w:rsidR="00F5555E">
              <w:rPr>
                <w:rFonts w:ascii="Verdana" w:eastAsia="Times New Roman" w:hAnsi="Verdana"/>
                <w:b/>
                <w:sz w:val="20"/>
                <w:szCs w:val="20"/>
              </w:rPr>
              <w:t xml:space="preserve"> or PSYC 250</w:t>
            </w:r>
          </w:p>
          <w:p w14:paraId="1A9E2982" w14:textId="6D9220A0" w:rsidR="00041179" w:rsidRDefault="00B32F3D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353 or PSYC 355</w:t>
            </w:r>
          </w:p>
          <w:p w14:paraId="06CB5CBE" w14:textId="155EDB74" w:rsidR="00135D3A" w:rsidRDefault="002A3E4D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Select 9 hours from the following: </w:t>
            </w:r>
            <w:r w:rsidR="00B7615F">
              <w:rPr>
                <w:rFonts w:ascii="Verdana" w:eastAsia="Times New Roman" w:hAnsi="Verdana"/>
                <w:b/>
                <w:sz w:val="20"/>
                <w:szCs w:val="20"/>
              </w:rPr>
              <w:t>PSYC</w:t>
            </w:r>
            <w:r w:rsidR="00F5555E">
              <w:rPr>
                <w:rFonts w:ascii="Verdana" w:eastAsia="Times New Roman" w:hAnsi="Verdana"/>
                <w:b/>
                <w:sz w:val="20"/>
                <w:szCs w:val="20"/>
              </w:rPr>
              <w:t xml:space="preserve"> 263, PSYC</w:t>
            </w:r>
            <w:r w:rsidR="00B7615F">
              <w:rPr>
                <w:rFonts w:ascii="Verdana" w:eastAsia="Times New Roman" w:hAnsi="Verdana"/>
                <w:b/>
                <w:sz w:val="20"/>
                <w:szCs w:val="20"/>
              </w:rPr>
              <w:t xml:space="preserve"> 303</w:t>
            </w:r>
            <w:r w:rsidR="007913E4">
              <w:rPr>
                <w:rFonts w:ascii="Verdana" w:eastAsia="Times New Roman" w:hAnsi="Verdana"/>
                <w:b/>
                <w:sz w:val="20"/>
                <w:szCs w:val="20"/>
              </w:rPr>
              <w:t xml:space="preserve">, </w:t>
            </w:r>
            <w:r w:rsidR="00B32F3D">
              <w:rPr>
                <w:rFonts w:ascii="Verdana" w:eastAsia="Times New Roman" w:hAnsi="Verdana"/>
                <w:b/>
                <w:sz w:val="20"/>
                <w:szCs w:val="20"/>
              </w:rPr>
              <w:t xml:space="preserve">PSYC 340, PSYC 352, 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>PSYC 358, PSYC 400, PSYC 401, PSYC 405</w:t>
            </w:r>
          </w:p>
          <w:p w14:paraId="776B4926" w14:textId="475AF08E" w:rsidR="0066258C" w:rsidRDefault="0066258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Any Course</w:t>
            </w:r>
          </w:p>
          <w:p w14:paraId="0A1A96FE" w14:textId="77777777" w:rsidR="00B66F72" w:rsidRPr="00FE5359" w:rsidRDefault="00B66F72" w:rsidP="00FE5359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EBF3013" w14:textId="3BF4B1E1" w:rsidR="009F0E66" w:rsidRPr="00F90C73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12E86C93" w:rsidR="009D7523" w:rsidRPr="00634D3F" w:rsidRDefault="00634D3F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634D3F">
        <w:rPr>
          <w:rFonts w:ascii="Verdana" w:eastAsia="Times New Roman" w:hAnsi="Verdana"/>
          <w:b/>
          <w:bCs/>
          <w:sz w:val="20"/>
          <w:szCs w:val="20"/>
        </w:rPr>
        <w:t>Minimum 120 Hours for B</w:t>
      </w:r>
      <w:r w:rsidR="00F0551A">
        <w:rPr>
          <w:rFonts w:ascii="Verdana" w:eastAsia="Times New Roman" w:hAnsi="Verdana"/>
          <w:b/>
          <w:bCs/>
          <w:sz w:val="20"/>
          <w:szCs w:val="20"/>
        </w:rPr>
        <w:t xml:space="preserve">A in </w:t>
      </w:r>
      <w:r w:rsidR="00653253">
        <w:rPr>
          <w:rFonts w:ascii="Verdana" w:eastAsia="Times New Roman" w:hAnsi="Verdana"/>
          <w:b/>
          <w:bCs/>
          <w:sz w:val="20"/>
          <w:szCs w:val="20"/>
        </w:rPr>
        <w:t>Psychology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 xml:space="preserve">For Additional Information: </w:t>
      </w:r>
    </w:p>
    <w:p w14:paraId="78EFBD4D" w14:textId="5F29511F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Governors State University</w:t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203E3DAB" w14:textId="54BFD81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Jaguar Transcript Evaluator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97AC0B" w14:textId="7FD3F719" w:rsidR="00F16CA3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hyperlink r:id="rId7" w:history="1">
        <w:r w:rsidRPr="00EA192E">
          <w:rPr>
            <w:rStyle w:val="Hyperlink"/>
            <w:rFonts w:ascii="Verdana" w:eastAsia="Times New Roman" w:hAnsi="Verdana"/>
            <w:b/>
            <w:sz w:val="20"/>
            <w:szCs w:val="20"/>
          </w:rPr>
          <w:t>https://govst.transfer.degree/</w:t>
        </w:r>
      </w:hyperlink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708ABCC4" w14:textId="75E691E9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College of</w:t>
      </w:r>
      <w:r w:rsidR="00696121">
        <w:rPr>
          <w:rFonts w:ascii="Verdana" w:eastAsia="Times New Roman" w:hAnsi="Verdana"/>
          <w:b/>
          <w:sz w:val="20"/>
          <w:szCs w:val="20"/>
        </w:rPr>
        <w:t xml:space="preserve"> </w:t>
      </w:r>
      <w:r w:rsidR="00653253">
        <w:rPr>
          <w:rFonts w:ascii="Verdana" w:eastAsia="Times New Roman" w:hAnsi="Verdana"/>
          <w:b/>
          <w:sz w:val="20"/>
          <w:szCs w:val="20"/>
        </w:rPr>
        <w:t>Education and Human Development</w:t>
      </w:r>
      <w:r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78A9C3" w14:textId="09489E1F" w:rsidR="009D7523" w:rsidRDefault="00653253" w:rsidP="009D7523">
      <w:pPr>
        <w:spacing w:after="0" w:line="240" w:lineRule="auto"/>
        <w:rPr>
          <w:b/>
          <w:bCs/>
        </w:rPr>
      </w:pPr>
      <w:hyperlink r:id="rId8" w:history="1">
        <w:r w:rsidRPr="00653253">
          <w:rPr>
            <w:rStyle w:val="Hyperlink"/>
            <w:b/>
            <w:bCs/>
          </w:rPr>
          <w:t>www.govst.edu/cehd</w:t>
        </w:r>
      </w:hyperlink>
      <w:r w:rsidRPr="00653253">
        <w:rPr>
          <w:b/>
          <w:bCs/>
        </w:rPr>
        <w:t xml:space="preserve"> </w:t>
      </w:r>
    </w:p>
    <w:p w14:paraId="5AE26059" w14:textId="00248C25" w:rsidR="00E96421" w:rsidRPr="00653253" w:rsidRDefault="00E96421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E96421">
        <w:rPr>
          <w:rFonts w:ascii="Verdana" w:eastAsia="Times New Roman" w:hAnsi="Verdana"/>
          <w:b/>
          <w:bCs/>
          <w:sz w:val="20"/>
          <w:szCs w:val="20"/>
        </w:rPr>
        <w:t xml:space="preserve">Scholarship Information is at </w:t>
      </w:r>
      <w:hyperlink r:id="rId9" w:history="1">
        <w:r w:rsidRPr="00E96421">
          <w:rPr>
            <w:rStyle w:val="Hyperlink"/>
            <w:rFonts w:ascii="Verdana" w:eastAsia="Times New Roman" w:hAnsi="Verdana"/>
            <w:b/>
            <w:bCs/>
            <w:sz w:val="20"/>
            <w:szCs w:val="20"/>
          </w:rPr>
          <w:t>Scholarship Universe | Governors State University</w:t>
        </w:r>
      </w:hyperlink>
    </w:p>
    <w:p w14:paraId="5115495F" w14:textId="77777777" w:rsidR="009D7523" w:rsidRPr="00E86D95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53E15A0F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8E4B1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127A1BB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718604E8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451C1202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proofErr w:type="spellStart"/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>ovState</w:t>
      </w:r>
      <w:proofErr w:type="spellEnd"/>
      <w:r w:rsidR="00F21ECA">
        <w:rPr>
          <w:rFonts w:ascii="Verdana" w:eastAsia="Times New Roman" w:hAnsi="Verdana"/>
          <w:sz w:val="16"/>
          <w:szCs w:val="16"/>
        </w:rPr>
        <w:t xml:space="preserve">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C76BAE">
        <w:rPr>
          <w:rFonts w:ascii="Verdana" w:eastAsia="Times New Roman" w:hAnsi="Verdana"/>
          <w:sz w:val="16"/>
          <w:szCs w:val="16"/>
        </w:rPr>
        <w:t xml:space="preserve"> </w:t>
      </w:r>
      <w:r w:rsidR="00696121">
        <w:rPr>
          <w:rFonts w:ascii="Verdana" w:eastAsia="Times New Roman" w:hAnsi="Verdana"/>
          <w:sz w:val="16"/>
          <w:szCs w:val="16"/>
        </w:rPr>
        <w:t>11/1</w:t>
      </w:r>
      <w:r w:rsidR="00E96421">
        <w:rPr>
          <w:rFonts w:ascii="Verdana" w:eastAsia="Times New Roman" w:hAnsi="Verdana"/>
          <w:sz w:val="16"/>
          <w:szCs w:val="16"/>
        </w:rPr>
        <w:t>8</w:t>
      </w:r>
      <w:r w:rsidR="00696121">
        <w:rPr>
          <w:rFonts w:ascii="Verdana" w:eastAsia="Times New Roman" w:hAnsi="Verdana"/>
          <w:sz w:val="16"/>
          <w:szCs w:val="16"/>
        </w:rPr>
        <w:t>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9388" w14:textId="77777777" w:rsidR="00A631E4" w:rsidRDefault="00A631E4" w:rsidP="00FA203D">
      <w:pPr>
        <w:spacing w:after="0" w:line="240" w:lineRule="auto"/>
      </w:pPr>
      <w:r>
        <w:separator/>
      </w:r>
    </w:p>
  </w:endnote>
  <w:endnote w:type="continuationSeparator" w:id="0">
    <w:p w14:paraId="2B18164C" w14:textId="77777777" w:rsidR="00A631E4" w:rsidRDefault="00A631E4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59AA" w14:textId="77777777" w:rsidR="00A631E4" w:rsidRDefault="00A631E4" w:rsidP="00FA203D">
      <w:pPr>
        <w:spacing w:after="0" w:line="240" w:lineRule="auto"/>
      </w:pPr>
      <w:r>
        <w:separator/>
      </w:r>
    </w:p>
  </w:footnote>
  <w:footnote w:type="continuationSeparator" w:id="0">
    <w:p w14:paraId="77FAC426" w14:textId="77777777" w:rsidR="00A631E4" w:rsidRDefault="00A631E4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6447DA">
    <w:pPr>
      <w:pStyle w:val="Header"/>
    </w:pPr>
    <w:r>
      <w:rPr>
        <w:noProof/>
      </w:rPr>
      <w:pict w14:anchorId="5D3FD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6" type="#_x0000_t75" style="position:absolute;margin-left:0;margin-top:0;width:545.5pt;height:728.4pt;z-index:-251657216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6447DA">
    <w:pPr>
      <w:pStyle w:val="Header"/>
    </w:pPr>
    <w:r>
      <w:rPr>
        <w:noProof/>
      </w:rPr>
      <w:pict w14:anchorId="74DB0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7" type="#_x0000_t75" style="position:absolute;margin-left:0;margin-top:0;width:545.5pt;height:728.4pt;z-index:-251656192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6447DA">
    <w:pPr>
      <w:pStyle w:val="Header"/>
    </w:pPr>
    <w:r>
      <w:rPr>
        <w:noProof/>
      </w:rPr>
      <w:pict w14:anchorId="10CA9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style="position:absolute;margin-left:0;margin-top:0;width:545.5pt;height:728.4pt;z-index:-251658240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4A22"/>
    <w:multiLevelType w:val="hybridMultilevel"/>
    <w:tmpl w:val="5C4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2DC7"/>
    <w:multiLevelType w:val="hybridMultilevel"/>
    <w:tmpl w:val="80E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7"/>
  </w:num>
  <w:num w:numId="2" w16cid:durableId="309097318">
    <w:abstractNumId w:val="5"/>
  </w:num>
  <w:num w:numId="3" w16cid:durableId="1371879409">
    <w:abstractNumId w:val="1"/>
  </w:num>
  <w:num w:numId="4" w16cid:durableId="1084255566">
    <w:abstractNumId w:val="8"/>
  </w:num>
  <w:num w:numId="5" w16cid:durableId="194273674">
    <w:abstractNumId w:val="0"/>
  </w:num>
  <w:num w:numId="6" w16cid:durableId="1792825185">
    <w:abstractNumId w:val="2"/>
  </w:num>
  <w:num w:numId="7" w16cid:durableId="479614746">
    <w:abstractNumId w:val="6"/>
  </w:num>
  <w:num w:numId="8" w16cid:durableId="1833175853">
    <w:abstractNumId w:val="9"/>
  </w:num>
  <w:num w:numId="9" w16cid:durableId="537669412">
    <w:abstractNumId w:val="4"/>
  </w:num>
  <w:num w:numId="10" w16cid:durableId="473108916">
    <w:abstractNumId w:val="10"/>
  </w:num>
  <w:num w:numId="11" w16cid:durableId="1348944856">
    <w:abstractNumId w:val="11"/>
  </w:num>
  <w:num w:numId="12" w16cid:durableId="212310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1289E"/>
    <w:rsid w:val="000250AC"/>
    <w:rsid w:val="00026156"/>
    <w:rsid w:val="00041179"/>
    <w:rsid w:val="0004407E"/>
    <w:rsid w:val="00055A40"/>
    <w:rsid w:val="00095FD0"/>
    <w:rsid w:val="000C12C9"/>
    <w:rsid w:val="000D5229"/>
    <w:rsid w:val="000E0C8B"/>
    <w:rsid w:val="000E48C0"/>
    <w:rsid w:val="000F6C2B"/>
    <w:rsid w:val="00101B55"/>
    <w:rsid w:val="00105E44"/>
    <w:rsid w:val="00127F33"/>
    <w:rsid w:val="00135D3A"/>
    <w:rsid w:val="00136210"/>
    <w:rsid w:val="0014056E"/>
    <w:rsid w:val="00152955"/>
    <w:rsid w:val="00182955"/>
    <w:rsid w:val="001839F2"/>
    <w:rsid w:val="00197CE2"/>
    <w:rsid w:val="001A4F44"/>
    <w:rsid w:val="001C6EB2"/>
    <w:rsid w:val="001E262B"/>
    <w:rsid w:val="001E6F7F"/>
    <w:rsid w:val="001F36FC"/>
    <w:rsid w:val="001F5FF4"/>
    <w:rsid w:val="00215ABF"/>
    <w:rsid w:val="002211E1"/>
    <w:rsid w:val="002230CE"/>
    <w:rsid w:val="002267C7"/>
    <w:rsid w:val="002666E4"/>
    <w:rsid w:val="00294401"/>
    <w:rsid w:val="002A3E4D"/>
    <w:rsid w:val="002A5F0C"/>
    <w:rsid w:val="002B347B"/>
    <w:rsid w:val="002E2E87"/>
    <w:rsid w:val="002E66E8"/>
    <w:rsid w:val="002F57EC"/>
    <w:rsid w:val="00330B0B"/>
    <w:rsid w:val="003A06E2"/>
    <w:rsid w:val="003B0688"/>
    <w:rsid w:val="003E1EAA"/>
    <w:rsid w:val="003E3B33"/>
    <w:rsid w:val="00411C2F"/>
    <w:rsid w:val="00436743"/>
    <w:rsid w:val="00437BCA"/>
    <w:rsid w:val="00462776"/>
    <w:rsid w:val="004A68B7"/>
    <w:rsid w:val="0050532B"/>
    <w:rsid w:val="005216AF"/>
    <w:rsid w:val="00524245"/>
    <w:rsid w:val="00563BE2"/>
    <w:rsid w:val="00565A65"/>
    <w:rsid w:val="005778DF"/>
    <w:rsid w:val="00581EDA"/>
    <w:rsid w:val="005832B1"/>
    <w:rsid w:val="00594B1D"/>
    <w:rsid w:val="00597BD0"/>
    <w:rsid w:val="005C14A7"/>
    <w:rsid w:val="005D5869"/>
    <w:rsid w:val="00604C2B"/>
    <w:rsid w:val="00605264"/>
    <w:rsid w:val="00613EE0"/>
    <w:rsid w:val="00621B03"/>
    <w:rsid w:val="00634D3F"/>
    <w:rsid w:val="00653253"/>
    <w:rsid w:val="0066258C"/>
    <w:rsid w:val="006650BB"/>
    <w:rsid w:val="00696121"/>
    <w:rsid w:val="006A0C8A"/>
    <w:rsid w:val="006A426D"/>
    <w:rsid w:val="006A7431"/>
    <w:rsid w:val="006B74AA"/>
    <w:rsid w:val="006C68BB"/>
    <w:rsid w:val="006D4D50"/>
    <w:rsid w:val="006E75CA"/>
    <w:rsid w:val="006F4FE8"/>
    <w:rsid w:val="0070495A"/>
    <w:rsid w:val="0072039A"/>
    <w:rsid w:val="00752724"/>
    <w:rsid w:val="00760CAB"/>
    <w:rsid w:val="00772912"/>
    <w:rsid w:val="0079024F"/>
    <w:rsid w:val="007913E4"/>
    <w:rsid w:val="007C03D1"/>
    <w:rsid w:val="007D2BCA"/>
    <w:rsid w:val="007D3A53"/>
    <w:rsid w:val="007D7623"/>
    <w:rsid w:val="007F58D9"/>
    <w:rsid w:val="008044CB"/>
    <w:rsid w:val="008250E6"/>
    <w:rsid w:val="008344D2"/>
    <w:rsid w:val="0083737C"/>
    <w:rsid w:val="0084101C"/>
    <w:rsid w:val="00841ACC"/>
    <w:rsid w:val="00843460"/>
    <w:rsid w:val="008611D4"/>
    <w:rsid w:val="00863F3C"/>
    <w:rsid w:val="008656EE"/>
    <w:rsid w:val="00882797"/>
    <w:rsid w:val="00883C20"/>
    <w:rsid w:val="008905C9"/>
    <w:rsid w:val="008933D1"/>
    <w:rsid w:val="00896FB0"/>
    <w:rsid w:val="008A2F5D"/>
    <w:rsid w:val="008B58D0"/>
    <w:rsid w:val="008D4391"/>
    <w:rsid w:val="008D7E16"/>
    <w:rsid w:val="0090146B"/>
    <w:rsid w:val="00985284"/>
    <w:rsid w:val="009C1088"/>
    <w:rsid w:val="009C4A2F"/>
    <w:rsid w:val="009C585A"/>
    <w:rsid w:val="009D7523"/>
    <w:rsid w:val="009F0E66"/>
    <w:rsid w:val="00A14C54"/>
    <w:rsid w:val="00A22A55"/>
    <w:rsid w:val="00A539E5"/>
    <w:rsid w:val="00A5737D"/>
    <w:rsid w:val="00A631E4"/>
    <w:rsid w:val="00A64A2F"/>
    <w:rsid w:val="00A810A6"/>
    <w:rsid w:val="00A836A6"/>
    <w:rsid w:val="00A83F14"/>
    <w:rsid w:val="00AC0D09"/>
    <w:rsid w:val="00AD2067"/>
    <w:rsid w:val="00AE37F6"/>
    <w:rsid w:val="00AE6388"/>
    <w:rsid w:val="00AF768E"/>
    <w:rsid w:val="00B273A5"/>
    <w:rsid w:val="00B32F3D"/>
    <w:rsid w:val="00B33E72"/>
    <w:rsid w:val="00B36C81"/>
    <w:rsid w:val="00B536F4"/>
    <w:rsid w:val="00B66F72"/>
    <w:rsid w:val="00B7615F"/>
    <w:rsid w:val="00B87E9D"/>
    <w:rsid w:val="00B9794F"/>
    <w:rsid w:val="00BA498D"/>
    <w:rsid w:val="00BB7AB3"/>
    <w:rsid w:val="00BC508E"/>
    <w:rsid w:val="00C020B0"/>
    <w:rsid w:val="00C04856"/>
    <w:rsid w:val="00C32700"/>
    <w:rsid w:val="00C73152"/>
    <w:rsid w:val="00C75BB5"/>
    <w:rsid w:val="00C76BAE"/>
    <w:rsid w:val="00C801C9"/>
    <w:rsid w:val="00CC3924"/>
    <w:rsid w:val="00CD4E06"/>
    <w:rsid w:val="00CE3E6C"/>
    <w:rsid w:val="00CF020B"/>
    <w:rsid w:val="00D03E21"/>
    <w:rsid w:val="00D10A92"/>
    <w:rsid w:val="00D174F9"/>
    <w:rsid w:val="00D202E7"/>
    <w:rsid w:val="00D53654"/>
    <w:rsid w:val="00D56C1F"/>
    <w:rsid w:val="00D938F4"/>
    <w:rsid w:val="00DB4D99"/>
    <w:rsid w:val="00DE41BA"/>
    <w:rsid w:val="00E461DE"/>
    <w:rsid w:val="00E56253"/>
    <w:rsid w:val="00E61AEB"/>
    <w:rsid w:val="00E8773E"/>
    <w:rsid w:val="00E96421"/>
    <w:rsid w:val="00EA532B"/>
    <w:rsid w:val="00EB5822"/>
    <w:rsid w:val="00ED601A"/>
    <w:rsid w:val="00ED6F1E"/>
    <w:rsid w:val="00F00B29"/>
    <w:rsid w:val="00F0551A"/>
    <w:rsid w:val="00F16CA3"/>
    <w:rsid w:val="00F21ECA"/>
    <w:rsid w:val="00F35D95"/>
    <w:rsid w:val="00F42EDC"/>
    <w:rsid w:val="00F53080"/>
    <w:rsid w:val="00F5397F"/>
    <w:rsid w:val="00F5555E"/>
    <w:rsid w:val="00F77255"/>
    <w:rsid w:val="00F90C73"/>
    <w:rsid w:val="00F91CDF"/>
    <w:rsid w:val="00FA203D"/>
    <w:rsid w:val="00FB47F0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eh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2021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3</cp:revision>
  <dcterms:created xsi:type="dcterms:W3CDTF">2025-11-18T21:20:00Z</dcterms:created>
  <dcterms:modified xsi:type="dcterms:W3CDTF">2025-11-18T21:20:00Z</dcterms:modified>
</cp:coreProperties>
</file>